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05" w:rsidRDefault="00F80C05">
      <w:pPr>
        <w:rPr>
          <w:rFonts w:ascii="Comic Sans MS" w:hAnsi="Comic Sans MS"/>
          <w:color w:val="35359F"/>
          <w:sz w:val="22"/>
        </w:rPr>
      </w:pPr>
    </w:p>
    <w:p w:rsidR="00B22379" w:rsidRDefault="00B22379">
      <w:pPr>
        <w:rPr>
          <w:rFonts w:ascii="Comic Sans MS" w:hAnsi="Comic Sans MS"/>
          <w:color w:val="35359F"/>
          <w:sz w:val="22"/>
        </w:rPr>
      </w:pPr>
    </w:p>
    <w:p w:rsidR="00B22379" w:rsidRDefault="00B22379">
      <w:pPr>
        <w:rPr>
          <w:rFonts w:ascii="Comic Sans MS" w:hAnsi="Comic Sans MS"/>
          <w:color w:val="35359F"/>
          <w:sz w:val="22"/>
        </w:rPr>
      </w:pPr>
    </w:p>
    <w:p w:rsidR="00F80C05" w:rsidRDefault="00F80C05">
      <w:pPr>
        <w:rPr>
          <w:rFonts w:ascii="Comic Sans MS" w:hAnsi="Comic Sans MS"/>
          <w:color w:val="35359F"/>
          <w:sz w:val="22"/>
        </w:rPr>
      </w:pPr>
    </w:p>
    <w:tbl>
      <w:tblPr>
        <w:tblW w:w="9484" w:type="dxa"/>
        <w:jc w:val="center"/>
        <w:tblBorders>
          <w:top w:val="thickThinSmallGap" w:sz="18" w:space="0" w:color="C0C0C0"/>
          <w:left w:val="thickThinSmallGap" w:sz="18" w:space="0" w:color="C0C0C0"/>
          <w:bottom w:val="thinThickSmallGap" w:sz="18" w:space="0" w:color="C0C0C0"/>
          <w:right w:val="thinThickSmallGap" w:sz="18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060"/>
        <w:gridCol w:w="3648"/>
        <w:gridCol w:w="2019"/>
        <w:gridCol w:w="336"/>
      </w:tblGrid>
      <w:tr w:rsidR="00F80C05" w:rsidRPr="00F80C05">
        <w:trPr>
          <w:jc w:val="center"/>
        </w:trPr>
        <w:tc>
          <w:tcPr>
            <w:tcW w:w="9484" w:type="dxa"/>
            <w:gridSpan w:val="5"/>
          </w:tcPr>
          <w:p w:rsidR="00F80C05" w:rsidRPr="00BD2830" w:rsidRDefault="00F80C05">
            <w:pPr>
              <w:pStyle w:val="Titre1"/>
              <w:spacing w:before="360" w:line="228" w:lineRule="auto"/>
              <w:ind w:left="288" w:right="288"/>
              <w:rPr>
                <w:color w:val="35359F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D2830">
              <w:rPr>
                <w:color w:val="35359F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Politique concernant</w:t>
            </w:r>
            <w:r w:rsidRPr="00BD2830">
              <w:rPr>
                <w:color w:val="35359F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>le port de la barbe</w:t>
            </w:r>
          </w:p>
          <w:p w:rsidR="00F80C05" w:rsidRPr="00F80C05" w:rsidRDefault="00F80C05">
            <w:pPr>
              <w:pStyle w:val="Retraitcorpsdetexte"/>
              <w:ind w:left="288" w:right="288"/>
              <w:jc w:val="both"/>
              <w:rPr>
                <w:sz w:val="22"/>
              </w:rPr>
            </w:pPr>
          </w:p>
          <w:p w:rsidR="00F80C05" w:rsidRPr="00F80C05" w:rsidRDefault="00F80C05">
            <w:pPr>
              <w:pStyle w:val="Retraitcorpsdetexte"/>
              <w:ind w:left="288" w:right="288"/>
              <w:jc w:val="both"/>
              <w:rPr>
                <w:sz w:val="22"/>
              </w:rPr>
            </w:pPr>
          </w:p>
          <w:p w:rsidR="00F80C05" w:rsidRPr="00F80C05" w:rsidRDefault="00F80C05">
            <w:pPr>
              <w:pStyle w:val="Retraitcorpsdetexte"/>
              <w:ind w:left="288" w:right="288"/>
              <w:jc w:val="both"/>
              <w:rPr>
                <w:spacing w:val="-4"/>
                <w:sz w:val="22"/>
              </w:rPr>
            </w:pPr>
            <w:r w:rsidRPr="00BD2830">
              <w:rPr>
                <w:b/>
                <w:color w:val="FF00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L'entreprise ************* </w:t>
            </w:r>
            <w:r w:rsidRPr="00F80C05">
              <w:rPr>
                <w:spacing w:val="-4"/>
                <w:sz w:val="22"/>
              </w:rPr>
              <w:t>reconnaît que le port de la barbe constitue un droit fondamental, protégé par le droit à la vie privée. Cependant, ce droit n'est pas absolu et doit à l'occasion céder le pas devant des motifs de santé et de sécurité.</w:t>
            </w:r>
          </w:p>
          <w:p w:rsidR="00F80C05" w:rsidRPr="00F80C05" w:rsidRDefault="00F80C05">
            <w:pPr>
              <w:pStyle w:val="Retraitcorpsdetexte"/>
              <w:spacing w:before="0"/>
              <w:ind w:left="288" w:right="288"/>
              <w:jc w:val="both"/>
              <w:rPr>
                <w:spacing w:val="-4"/>
                <w:sz w:val="22"/>
              </w:rPr>
            </w:pPr>
          </w:p>
          <w:p w:rsidR="00F80C05" w:rsidRPr="00F80C05" w:rsidRDefault="00F80C05">
            <w:pPr>
              <w:pStyle w:val="Retraitcorpsdetexte2"/>
              <w:ind w:right="288"/>
              <w:jc w:val="both"/>
              <w:rPr>
                <w:spacing w:val="-4"/>
              </w:rPr>
            </w:pPr>
            <w:r w:rsidRPr="00F80C05">
              <w:rPr>
                <w:spacing w:val="-4"/>
              </w:rPr>
              <w:t xml:space="preserve">Comme l'efficacité des appareils de protection respiratoire munis de pièces faciales ajustées (masque jetable, demi-masque et masque complet) dépend de la bonne étanchéité entre la pièce faciale et la peau de l'utilisateur, </w:t>
            </w:r>
            <w:r w:rsidRPr="00F80C05">
              <w:rPr>
                <w:b/>
                <w:bCs/>
                <w:spacing w:val="-4"/>
              </w:rPr>
              <w:t>les travailleurs devant les utiliser doivent avoir la barbe fraîchement rasée. De plus, ils devront s'assurer que les moustaches, favoris et cheveux ne nuisent pas à l'étanchéité du masque</w:t>
            </w:r>
            <w:r w:rsidRPr="00F80C05">
              <w:rPr>
                <w:spacing w:val="-4"/>
              </w:rPr>
              <w:t>.</w:t>
            </w:r>
          </w:p>
          <w:p w:rsidR="00F80C05" w:rsidRPr="00F80C05" w:rsidRDefault="00F80C05">
            <w:pPr>
              <w:pStyle w:val="Retraitcorpsdetexte2"/>
              <w:ind w:right="288"/>
              <w:jc w:val="both"/>
              <w:rPr>
                <w:spacing w:val="-4"/>
              </w:rPr>
            </w:pPr>
          </w:p>
          <w:p w:rsidR="00F80C05" w:rsidRPr="00F80C05" w:rsidRDefault="00F80C05">
            <w:pPr>
              <w:pStyle w:val="Retraitcorpsdetexte2"/>
              <w:ind w:right="288"/>
              <w:jc w:val="both"/>
              <w:rPr>
                <w:spacing w:val="-4"/>
              </w:rPr>
            </w:pPr>
            <w:r w:rsidRPr="00F80C05">
              <w:rPr>
                <w:spacing w:val="-4"/>
              </w:rPr>
              <w:t>Cependant, il existe sur le marché certains types d'appareils de protection respiratoire qui peuvent être utilisés avec des pièces faciales amples (cagoule ou casque). Le responsable du programme de protection respiratoire,</w:t>
            </w:r>
            <w:r w:rsidRPr="00BD2830">
              <w:rPr>
                <w:b/>
                <w:color w:val="FF00FF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en collaboration avec le comité de santé et de sécurité</w:t>
            </w:r>
            <w:r w:rsidRPr="00F80C05">
              <w:rPr>
                <w:spacing w:val="-4"/>
              </w:rPr>
              <w:t xml:space="preserve"> a identifié certaines situations de travail où le port de ces APR est possible. Les personnes concernées ont été avisées lors du choix des APR.</w:t>
            </w:r>
          </w:p>
          <w:p w:rsidR="00F80C05" w:rsidRPr="00F80C05" w:rsidRDefault="00F80C05">
            <w:pPr>
              <w:spacing w:after="60" w:line="228" w:lineRule="auto"/>
              <w:ind w:left="288" w:right="288"/>
              <w:jc w:val="both"/>
              <w:rPr>
                <w:color w:val="35359F"/>
                <w:sz w:val="22"/>
              </w:rPr>
            </w:pPr>
          </w:p>
          <w:p w:rsidR="00F80C05" w:rsidRPr="00F80C05" w:rsidRDefault="00F80C05">
            <w:pPr>
              <w:spacing w:after="60" w:line="228" w:lineRule="auto"/>
              <w:ind w:left="288" w:right="288"/>
              <w:jc w:val="both"/>
              <w:rPr>
                <w:color w:val="35359F"/>
                <w:sz w:val="22"/>
              </w:rPr>
            </w:pPr>
          </w:p>
        </w:tc>
      </w:tr>
      <w:tr w:rsidR="00F80C05">
        <w:trPr>
          <w:cantSplit/>
          <w:jc w:val="center"/>
        </w:trPr>
        <w:tc>
          <w:tcPr>
            <w:tcW w:w="421" w:type="dxa"/>
            <w:tcBorders>
              <w:top w:val="nil"/>
              <w:bottom w:val="nil"/>
            </w:tcBorders>
          </w:tcPr>
          <w:p w:rsidR="00F80C05" w:rsidRDefault="00F80C05">
            <w:pPr>
              <w:pStyle w:val="Titre4"/>
              <w:spacing w:before="120" w:line="228" w:lineRule="auto"/>
              <w:ind w:left="288" w:right="288"/>
              <w:rPr>
                <w:rFonts w:ascii="Bradley Hand ITC" w:hAnsi="Bradley Hand ITC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333399"/>
            </w:tcBorders>
          </w:tcPr>
          <w:p w:rsidR="00F80C05" w:rsidRDefault="00F80C05">
            <w:pPr>
              <w:pStyle w:val="Titre4"/>
              <w:spacing w:before="120" w:line="228" w:lineRule="auto"/>
              <w:ind w:left="288" w:right="288"/>
              <w:jc w:val="both"/>
              <w:rPr>
                <w:rFonts w:ascii="Bradley Hand ITC" w:hAnsi="Bradley Hand ITC"/>
                <w:sz w:val="20"/>
              </w:rPr>
            </w:pPr>
          </w:p>
        </w:tc>
        <w:tc>
          <w:tcPr>
            <w:tcW w:w="3648" w:type="dxa"/>
            <w:tcBorders>
              <w:top w:val="nil"/>
              <w:bottom w:val="nil"/>
            </w:tcBorders>
          </w:tcPr>
          <w:p w:rsidR="00F80C05" w:rsidRDefault="00F80C05">
            <w:pPr>
              <w:pStyle w:val="Titre4"/>
              <w:spacing w:before="120" w:line="228" w:lineRule="auto"/>
              <w:ind w:left="288" w:right="288"/>
              <w:rPr>
                <w:rFonts w:ascii="Bradley Hand ITC" w:hAnsi="Bradley Hand ITC"/>
              </w:rPr>
            </w:pPr>
          </w:p>
        </w:tc>
        <w:tc>
          <w:tcPr>
            <w:tcW w:w="2019" w:type="dxa"/>
            <w:tcBorders>
              <w:top w:val="nil"/>
              <w:bottom w:val="single" w:sz="4" w:space="0" w:color="000080"/>
            </w:tcBorders>
          </w:tcPr>
          <w:p w:rsidR="00F80C05" w:rsidRDefault="00F80C05">
            <w:pPr>
              <w:pStyle w:val="Titre4"/>
              <w:spacing w:before="60" w:after="60" w:line="235" w:lineRule="auto"/>
              <w:ind w:left="144" w:right="144"/>
              <w:rPr>
                <w:rFonts w:ascii="Bradley Hand ITC" w:hAnsi="Bradley Hand ITC"/>
                <w:b w:val="0"/>
                <w:bCs w:val="0"/>
                <w:sz w:val="20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F80C05" w:rsidRDefault="00F80C05">
            <w:pPr>
              <w:pStyle w:val="Titre4"/>
              <w:spacing w:before="120" w:line="228" w:lineRule="auto"/>
              <w:ind w:left="288" w:right="288"/>
              <w:rPr>
                <w:rFonts w:ascii="Bradley Hand ITC" w:hAnsi="Bradley Hand ITC"/>
              </w:rPr>
            </w:pPr>
          </w:p>
        </w:tc>
      </w:tr>
      <w:tr w:rsidR="00F80C05">
        <w:trPr>
          <w:cantSplit/>
          <w:jc w:val="center"/>
        </w:trPr>
        <w:tc>
          <w:tcPr>
            <w:tcW w:w="421" w:type="dxa"/>
            <w:tcBorders>
              <w:top w:val="nil"/>
              <w:bottom w:val="nil"/>
            </w:tcBorders>
          </w:tcPr>
          <w:p w:rsidR="00F80C05" w:rsidRDefault="00F80C05">
            <w:pPr>
              <w:pStyle w:val="Titre4"/>
              <w:spacing w:before="120" w:line="228" w:lineRule="auto"/>
              <w:ind w:left="288" w:right="288"/>
              <w:rPr>
                <w:rFonts w:ascii="Bradley Hand ITC" w:hAnsi="Bradley Hand ITC"/>
              </w:rPr>
            </w:pPr>
          </w:p>
        </w:tc>
        <w:tc>
          <w:tcPr>
            <w:tcW w:w="3060" w:type="dxa"/>
            <w:tcBorders>
              <w:top w:val="single" w:sz="4" w:space="0" w:color="333399"/>
              <w:bottom w:val="nil"/>
            </w:tcBorders>
          </w:tcPr>
          <w:p w:rsidR="00F80C05" w:rsidRDefault="00F80C05">
            <w:pPr>
              <w:pStyle w:val="Titre4"/>
              <w:spacing w:before="120" w:line="228" w:lineRule="auto"/>
              <w:ind w:left="288" w:right="288"/>
              <w:jc w:val="both"/>
              <w:rPr>
                <w:rFonts w:ascii="Bradley Hand ITC" w:hAnsi="Bradley Hand ITC"/>
                <w:sz w:val="20"/>
              </w:rPr>
            </w:pPr>
            <w:r>
              <w:rPr>
                <w:rFonts w:ascii="Bradley Hand ITC" w:hAnsi="Bradley Hand ITC"/>
              </w:rPr>
              <w:t>Responsable du PPR</w:t>
            </w:r>
          </w:p>
        </w:tc>
        <w:tc>
          <w:tcPr>
            <w:tcW w:w="3648" w:type="dxa"/>
            <w:tcBorders>
              <w:top w:val="nil"/>
              <w:bottom w:val="nil"/>
            </w:tcBorders>
          </w:tcPr>
          <w:p w:rsidR="00F80C05" w:rsidRDefault="00F80C05">
            <w:pPr>
              <w:pStyle w:val="Titre4"/>
              <w:spacing w:before="120" w:line="228" w:lineRule="auto"/>
              <w:ind w:left="288" w:right="288"/>
              <w:rPr>
                <w:rFonts w:ascii="Bradley Hand ITC" w:hAnsi="Bradley Hand ITC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vAlign w:val="bottom"/>
          </w:tcPr>
          <w:p w:rsidR="00F80C05" w:rsidRDefault="00F80C05">
            <w:pPr>
              <w:pStyle w:val="Titre4"/>
              <w:spacing w:before="120" w:line="235" w:lineRule="auto"/>
              <w:ind w:left="144" w:right="144"/>
              <w:jc w:val="center"/>
              <w:rPr>
                <w:rFonts w:ascii="Bradley Hand ITC" w:hAnsi="Bradley Hand ITC"/>
                <w:sz w:val="20"/>
              </w:rPr>
            </w:pPr>
            <w:r>
              <w:rPr>
                <w:rFonts w:ascii="Bradley Hand ITC" w:hAnsi="Bradley Hand ITC"/>
                <w:sz w:val="20"/>
              </w:rPr>
              <w:t>Date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F80C05" w:rsidRDefault="00F80C05">
            <w:pPr>
              <w:pStyle w:val="Titre4"/>
              <w:spacing w:before="120" w:line="228" w:lineRule="auto"/>
              <w:ind w:left="288" w:right="288"/>
              <w:rPr>
                <w:rFonts w:ascii="Bradley Hand ITC" w:hAnsi="Bradley Hand ITC"/>
              </w:rPr>
            </w:pPr>
          </w:p>
        </w:tc>
      </w:tr>
      <w:tr w:rsidR="00F80C05">
        <w:trPr>
          <w:jc w:val="center"/>
        </w:trPr>
        <w:tc>
          <w:tcPr>
            <w:tcW w:w="9484" w:type="dxa"/>
            <w:gridSpan w:val="5"/>
            <w:tcBorders>
              <w:top w:val="nil"/>
              <w:bottom w:val="nil"/>
            </w:tcBorders>
          </w:tcPr>
          <w:p w:rsidR="00F80C05" w:rsidRDefault="00F80C05">
            <w:pPr>
              <w:tabs>
                <w:tab w:val="left" w:pos="599"/>
                <w:tab w:val="left" w:pos="1010"/>
                <w:tab w:val="left" w:pos="1655"/>
                <w:tab w:val="left" w:pos="1800"/>
              </w:tabs>
              <w:ind w:left="288" w:right="288"/>
              <w:rPr>
                <w:rFonts w:ascii="Bradley Hand ITC" w:hAnsi="Bradley Hand ITC"/>
                <w:color w:val="FF7C80"/>
                <w:sz w:val="28"/>
                <w:szCs w:val="22"/>
              </w:rPr>
            </w:pPr>
          </w:p>
        </w:tc>
      </w:tr>
      <w:tr w:rsidR="00F80C05">
        <w:trPr>
          <w:jc w:val="center"/>
        </w:trPr>
        <w:tc>
          <w:tcPr>
            <w:tcW w:w="9484" w:type="dxa"/>
            <w:gridSpan w:val="5"/>
            <w:tcBorders>
              <w:top w:val="nil"/>
              <w:bottom w:val="nil"/>
            </w:tcBorders>
          </w:tcPr>
          <w:p w:rsidR="00F80C05" w:rsidRDefault="00F80C05">
            <w:pPr>
              <w:tabs>
                <w:tab w:val="left" w:pos="599"/>
                <w:tab w:val="left" w:pos="1010"/>
                <w:tab w:val="left" w:pos="1655"/>
                <w:tab w:val="left" w:pos="1800"/>
              </w:tabs>
              <w:ind w:left="288" w:right="288"/>
              <w:rPr>
                <w:rFonts w:ascii="Bradley Hand ITC" w:hAnsi="Bradley Hand ITC"/>
                <w:color w:val="FF7C80"/>
                <w:sz w:val="28"/>
                <w:szCs w:val="22"/>
              </w:rPr>
            </w:pPr>
          </w:p>
        </w:tc>
      </w:tr>
      <w:tr w:rsidR="00F80C05" w:rsidRPr="00F80C05">
        <w:trPr>
          <w:jc w:val="center"/>
        </w:trPr>
        <w:tc>
          <w:tcPr>
            <w:tcW w:w="9484" w:type="dxa"/>
            <w:gridSpan w:val="5"/>
            <w:tcBorders>
              <w:top w:val="nil"/>
              <w:bottom w:val="nil"/>
            </w:tcBorders>
          </w:tcPr>
          <w:p w:rsidR="00F80C05" w:rsidRPr="00F80C05" w:rsidRDefault="00F80C05">
            <w:pPr>
              <w:tabs>
                <w:tab w:val="left" w:pos="1618"/>
              </w:tabs>
              <w:ind w:left="1252" w:right="288"/>
              <w:rPr>
                <w:rFonts w:ascii="Monotype Corsiva" w:hAnsi="Monotype Corsiva"/>
                <w:color w:val="C44F00"/>
                <w:sz w:val="28"/>
              </w:rPr>
            </w:pPr>
            <w:r w:rsidRPr="00BD2830">
              <w:rPr>
                <w:rFonts w:ascii="Monotype Corsiva" w:hAnsi="Monotype Corsiva"/>
                <w:b/>
                <w:bCs/>
                <w:color w:val="C44F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0"/>
            </w:r>
            <w:r w:rsidRPr="00BD2830">
              <w:rPr>
                <w:rFonts w:ascii="Monotype Corsiva" w:hAnsi="Monotype Corsiva"/>
                <w:b/>
                <w:bCs/>
                <w:color w:val="C44F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F80C05">
              <w:rPr>
                <w:rFonts w:ascii="Monotype Corsiva" w:hAnsi="Monotype Corsiva"/>
                <w:color w:val="C44F00"/>
                <w:sz w:val="28"/>
              </w:rPr>
              <w:t xml:space="preserve"> </w:t>
            </w:r>
            <w:r w:rsidRPr="00BD2830">
              <w:rPr>
                <w:rFonts w:ascii="Monotype Corsiva" w:hAnsi="Monotype Corsiva"/>
                <w:b/>
                <w:bCs/>
                <w:color w:val="C44F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Pour toute information, veuillez communiquer avec **********</w:t>
            </w:r>
          </w:p>
        </w:tc>
      </w:tr>
      <w:tr w:rsidR="00F80C05">
        <w:trPr>
          <w:jc w:val="center"/>
        </w:trPr>
        <w:tc>
          <w:tcPr>
            <w:tcW w:w="9484" w:type="dxa"/>
            <w:gridSpan w:val="5"/>
            <w:tcBorders>
              <w:top w:val="nil"/>
              <w:bottom w:val="nil"/>
            </w:tcBorders>
          </w:tcPr>
          <w:p w:rsidR="00F80C05" w:rsidRDefault="00F80C05">
            <w:pPr>
              <w:tabs>
                <w:tab w:val="left" w:pos="599"/>
                <w:tab w:val="left" w:pos="1010"/>
                <w:tab w:val="left" w:pos="1655"/>
                <w:tab w:val="left" w:pos="1800"/>
              </w:tabs>
              <w:ind w:left="288" w:right="288"/>
              <w:rPr>
                <w:rFonts w:ascii="Bradley Hand ITC" w:hAnsi="Bradley Hand ITC"/>
                <w:color w:val="FF7C80"/>
                <w:sz w:val="28"/>
                <w:szCs w:val="22"/>
              </w:rPr>
            </w:pPr>
          </w:p>
        </w:tc>
      </w:tr>
      <w:tr w:rsidR="00F80C05">
        <w:trPr>
          <w:jc w:val="center"/>
        </w:trPr>
        <w:tc>
          <w:tcPr>
            <w:tcW w:w="9484" w:type="dxa"/>
            <w:gridSpan w:val="5"/>
            <w:tcBorders>
              <w:top w:val="nil"/>
              <w:bottom w:val="thickThinSmallGap" w:sz="18" w:space="0" w:color="C0C0C0"/>
            </w:tcBorders>
          </w:tcPr>
          <w:p w:rsidR="00F80C05" w:rsidRDefault="00F80C05">
            <w:pPr>
              <w:tabs>
                <w:tab w:val="left" w:pos="599"/>
                <w:tab w:val="left" w:pos="1010"/>
                <w:tab w:val="left" w:pos="1655"/>
                <w:tab w:val="left" w:pos="1800"/>
              </w:tabs>
              <w:ind w:left="288" w:right="288"/>
              <w:rPr>
                <w:rFonts w:ascii="Bradley Hand ITC" w:hAnsi="Bradley Hand ITC"/>
                <w:color w:val="FF7C80"/>
                <w:sz w:val="28"/>
                <w:szCs w:val="22"/>
              </w:rPr>
            </w:pPr>
          </w:p>
        </w:tc>
      </w:tr>
    </w:tbl>
    <w:p w:rsidR="00F80C05" w:rsidRDefault="00F80C05">
      <w:pPr>
        <w:rPr>
          <w:color w:val="333399"/>
        </w:rPr>
      </w:pPr>
    </w:p>
    <w:sectPr w:rsidR="00F80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AF" w:rsidRDefault="002032AF">
      <w:r>
        <w:separator/>
      </w:r>
    </w:p>
  </w:endnote>
  <w:endnote w:type="continuationSeparator" w:id="0">
    <w:p w:rsidR="002032AF" w:rsidRDefault="0020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84" w:rsidRDefault="00D1548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05" w:rsidRPr="008A3FF6" w:rsidRDefault="00B22379" w:rsidP="00F80C05">
    <w:pPr>
      <w:pStyle w:val="Pieddepage"/>
      <w:rPr>
        <w:rFonts w:ascii="Comic Sans MS" w:hAnsi="Comic Sans MS"/>
        <w:color w:val="333399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>2014 10 28</w:t>
    </w:r>
  </w:p>
  <w:p w:rsidR="00F80C05" w:rsidRDefault="00F80C0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84" w:rsidRDefault="00D1548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AF" w:rsidRDefault="002032AF">
      <w:r>
        <w:separator/>
      </w:r>
    </w:p>
  </w:footnote>
  <w:footnote w:type="continuationSeparator" w:id="0">
    <w:p w:rsidR="002032AF" w:rsidRDefault="00203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84" w:rsidRDefault="00D1548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C05" w:rsidRDefault="000B32B7">
    <w:pPr>
      <w:pStyle w:val="En-tte"/>
      <w:spacing w:before="240"/>
      <w:ind w:left="-576"/>
    </w:pPr>
    <w:r>
      <w:rPr>
        <w:noProof/>
        <w:lang w:eastAsia="fr-C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-675374</wp:posOffset>
          </wp:positionH>
          <wp:positionV relativeFrom="paragraph">
            <wp:posOffset>-21846</wp:posOffset>
          </wp:positionV>
          <wp:extent cx="2142490" cy="756920"/>
          <wp:effectExtent l="0" t="0" r="0" b="5080"/>
          <wp:wrapNone/>
          <wp:docPr id="4" name="Image 4" descr="T:\DSP\PST\7500 Programme Santé au Travail\10 Logo\DSP\Logo_CISSSM_DSP_Cou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T:\DSP\PST\7500 Programme Santé au Travail\10 Logo\DSP\Logo_CISSSM_DSP_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2830">
      <w:rPr>
        <w:noProof/>
        <w:sz w:val="20"/>
        <w:lang w:eastAsia="fr-C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3528060</wp:posOffset>
              </wp:positionH>
              <wp:positionV relativeFrom="paragraph">
                <wp:posOffset>182880</wp:posOffset>
              </wp:positionV>
              <wp:extent cx="2514600" cy="685800"/>
              <wp:effectExtent l="3810" t="1905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C05" w:rsidRPr="00BD2830" w:rsidRDefault="00F80C05">
                          <w:pPr>
                            <w:jc w:val="right"/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D2830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Modèle n</w:t>
                          </w:r>
                          <w:r w:rsidRPr="00BD2830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:vertAlign w:val="superscrip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</w:t>
                          </w:r>
                          <w:r w:rsidRPr="00BD2830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11</w:t>
                          </w:r>
                        </w:p>
                        <w:p w:rsidR="00F80C05" w:rsidRDefault="00F80C05">
                          <w:pPr>
                            <w:jc w:val="right"/>
                            <w:rPr>
                              <w:rFonts w:ascii="Comic Sans MS" w:hAnsi="Comic Sans MS"/>
                              <w:color w:val="333399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333399"/>
                              <w:spacing w:val="2"/>
                              <w:sz w:val="16"/>
                            </w:rPr>
                            <w:t>En référence à l'étape 6 du PPR et à la</w:t>
                          </w:r>
                          <w:r>
                            <w:rPr>
                              <w:rFonts w:ascii="Comic Sans MS" w:hAnsi="Comic Sans MS"/>
                              <w:color w:val="333399"/>
                              <w:spacing w:val="2"/>
                              <w:sz w:val="16"/>
                            </w:rPr>
                            <w:br/>
                          </w:r>
                          <w:r>
                            <w:rPr>
                              <w:rFonts w:ascii="Comic Sans MS" w:hAnsi="Comic Sans MS"/>
                              <w:color w:val="333399"/>
                              <w:sz w:val="16"/>
                            </w:rPr>
                            <w:t xml:space="preserve">section 9 du </w:t>
                          </w:r>
                          <w:r>
                            <w:rPr>
                              <w:rFonts w:ascii="Monotype Corsiva" w:hAnsi="Monotype Corsiva"/>
                              <w:i/>
                              <w:iCs/>
                              <w:color w:val="333399"/>
                              <w:sz w:val="19"/>
                            </w:rPr>
                            <w:t>Guide d'élaboration d'un PPR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77.8pt;margin-top:14.4pt;width:19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" stroked="f">
              <v:textbox>
                <w:txbxContent>
                  <w:p w:rsidR="00F80C05" w:rsidRPr="00BD2830" w:rsidRDefault="00F80C05">
                    <w:pPr>
                      <w:jc w:val="right"/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D2830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Modèle n</w:t>
                    </w:r>
                    <w:r w:rsidRPr="00BD2830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:vertAlign w:val="superscript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</w:t>
                    </w:r>
                    <w:r w:rsidRPr="00BD2830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11</w:t>
                    </w:r>
                  </w:p>
                  <w:p w:rsidR="00F80C05" w:rsidRDefault="00F80C05">
                    <w:pPr>
                      <w:jc w:val="right"/>
                      <w:rPr>
                        <w:rFonts w:ascii="Comic Sans MS" w:hAnsi="Comic Sans MS"/>
                        <w:color w:val="333399"/>
                        <w:sz w:val="16"/>
                      </w:rPr>
                    </w:pPr>
                    <w:r>
                      <w:rPr>
                        <w:rFonts w:ascii="Comic Sans MS" w:hAnsi="Comic Sans MS"/>
                        <w:color w:val="333399"/>
                        <w:spacing w:val="2"/>
                        <w:sz w:val="16"/>
                      </w:rPr>
                      <w:t>En référence à l'étape 6 du PPR et à la</w:t>
                    </w:r>
                    <w:r>
                      <w:rPr>
                        <w:rFonts w:ascii="Comic Sans MS" w:hAnsi="Comic Sans MS"/>
                        <w:color w:val="333399"/>
                        <w:spacing w:val="2"/>
                        <w:sz w:val="16"/>
                      </w:rPr>
                      <w:br/>
                    </w:r>
                    <w:r>
                      <w:rPr>
                        <w:rFonts w:ascii="Comic Sans MS" w:hAnsi="Comic Sans MS"/>
                        <w:color w:val="333399"/>
                        <w:sz w:val="16"/>
                      </w:rPr>
                      <w:t xml:space="preserve">section 9 du </w:t>
                    </w:r>
                    <w:r>
                      <w:rPr>
                        <w:rFonts w:ascii="Monotype Corsiva" w:hAnsi="Monotype Corsiva"/>
                        <w:i/>
                        <w:iCs/>
                        <w:color w:val="333399"/>
                        <w:sz w:val="19"/>
                      </w:rPr>
                      <w:t>Guide d'élaboration d'un PPR</w:t>
                    </w:r>
                  </w:p>
                </w:txbxContent>
              </v:textbox>
            </v:shape>
          </w:pict>
        </mc:Fallback>
      </mc:AlternateContent>
    </w:r>
    <w:r w:rsidR="00BD2830">
      <w:rPr>
        <w:noProof/>
        <w:sz w:val="20"/>
        <w:lang w:eastAsia="fr-C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1793240</wp:posOffset>
              </wp:positionH>
              <wp:positionV relativeFrom="paragraph">
                <wp:posOffset>50800</wp:posOffset>
              </wp:positionV>
              <wp:extent cx="1714500" cy="1143000"/>
              <wp:effectExtent l="2540" t="317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C05" w:rsidRDefault="00BD2830"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>
                                <wp:extent cx="1536700" cy="1079500"/>
                                <wp:effectExtent l="0" t="0" r="6350" b="6350"/>
                                <wp:docPr id="3" name="Image 1" descr="Frère de sn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rère de sn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6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141.2pt;margin-top:4pt;width:13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" stroked="f">
              <v:textbox>
                <w:txbxContent>
                  <w:p w:rsidR="00F80C05" w:rsidRDefault="00BD2830"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>
                          <wp:extent cx="1536700" cy="1079500"/>
                          <wp:effectExtent l="0" t="0" r="6350" b="6350"/>
                          <wp:docPr id="3" name="Image 1" descr="Frère de sn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rère de sn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6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80C05">
      <w:tab/>
    </w:r>
    <w:bookmarkStart w:id="0" w:name="_GoBack"/>
    <w:bookmarkEnd w:id="0"/>
  </w:p>
  <w:p w:rsidR="00F80C05" w:rsidRDefault="00F80C05">
    <w:pPr>
      <w:pStyle w:val="Corpsdetexte"/>
      <w:tabs>
        <w:tab w:val="left" w:pos="3060"/>
        <w:tab w:val="left" w:pos="5580"/>
        <w:tab w:val="left" w:pos="6480"/>
        <w:tab w:val="left" w:pos="9720"/>
      </w:tabs>
      <w:spacing w:before="40"/>
      <w:ind w:left="144"/>
      <w:jc w:val="left"/>
      <w:rPr>
        <w:rFonts w:ascii="Arial Narrow" w:hAnsi="Arial Narrow"/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484" w:rsidRDefault="00D1548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93C7B"/>
    <w:multiLevelType w:val="hybridMultilevel"/>
    <w:tmpl w:val="165C26C4"/>
    <w:lvl w:ilvl="0" w:tplc="A05435D4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05"/>
    <w:rsid w:val="000B32B7"/>
    <w:rsid w:val="000C70B2"/>
    <w:rsid w:val="002032AF"/>
    <w:rsid w:val="00B22379"/>
    <w:rsid w:val="00BD2830"/>
    <w:rsid w:val="00CD1446"/>
    <w:rsid w:val="00D15484"/>
    <w:rsid w:val="00ED058D"/>
    <w:rsid w:val="00F8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82C74697-4378-40F8-81A2-493142B0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color w:val="333399"/>
    </w:rPr>
  </w:style>
  <w:style w:type="paragraph" w:styleId="Titre2">
    <w:name w:val="heading 2"/>
    <w:basedOn w:val="Normal"/>
    <w:next w:val="Normal"/>
    <w:qFormat/>
    <w:pPr>
      <w:keepNext/>
      <w:spacing w:before="60" w:after="60"/>
      <w:outlineLvl w:val="1"/>
    </w:pPr>
    <w:rPr>
      <w:rFonts w:ascii="Comic Sans MS" w:hAnsi="Comic Sans MS"/>
      <w:b/>
      <w:bCs/>
      <w:color w:val="35359F"/>
      <w:sz w:val="22"/>
    </w:rPr>
  </w:style>
  <w:style w:type="paragraph" w:styleId="Titre3">
    <w:name w:val="heading 3"/>
    <w:basedOn w:val="Normal"/>
    <w:next w:val="Normal"/>
    <w:qFormat/>
    <w:pPr>
      <w:keepNext/>
      <w:spacing w:before="60" w:after="60"/>
      <w:outlineLvl w:val="2"/>
    </w:pPr>
    <w:rPr>
      <w:rFonts w:ascii="Comic Sans MS" w:hAnsi="Comic Sans MS"/>
      <w:b/>
      <w:bCs/>
      <w:color w:val="333399"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color w:val="35359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jc w:val="both"/>
    </w:pPr>
    <w:rPr>
      <w:sz w:val="20"/>
      <w:szCs w:val="20"/>
    </w:rPr>
  </w:style>
  <w:style w:type="paragraph" w:styleId="Corpsdetexte2">
    <w:name w:val="Body Text 2"/>
    <w:basedOn w:val="Normal"/>
    <w:pPr>
      <w:jc w:val="right"/>
    </w:pPr>
    <w:rPr>
      <w:rFonts w:ascii="Comic Sans MS" w:hAnsi="Comic Sans MS"/>
      <w:b/>
      <w:bCs/>
      <w:color w:val="4545C1"/>
      <w:sz w:val="20"/>
    </w:rPr>
  </w:style>
  <w:style w:type="paragraph" w:styleId="Corpsdetexte3">
    <w:name w:val="Body Text 3"/>
    <w:basedOn w:val="Normal"/>
    <w:pPr>
      <w:spacing w:before="60" w:after="60"/>
      <w:jc w:val="center"/>
    </w:pPr>
    <w:rPr>
      <w:rFonts w:ascii="Comic Sans MS" w:hAnsi="Comic Sans MS"/>
      <w:b/>
      <w:bCs/>
      <w:color w:val="35359F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etraitcorpsdetexte">
    <w:name w:val="Body Text Indent"/>
    <w:basedOn w:val="Normal"/>
    <w:pPr>
      <w:spacing w:before="120" w:line="228" w:lineRule="auto"/>
      <w:ind w:left="43"/>
    </w:pPr>
    <w:rPr>
      <w:rFonts w:ascii="Comic Sans MS" w:hAnsi="Comic Sans MS"/>
      <w:color w:val="35359F"/>
      <w:spacing w:val="-2"/>
      <w:sz w:val="20"/>
    </w:rPr>
  </w:style>
  <w:style w:type="paragraph" w:styleId="Retraitcorpsdetexte2">
    <w:name w:val="Body Text Indent 2"/>
    <w:basedOn w:val="Normal"/>
    <w:pPr>
      <w:spacing w:after="60" w:line="228" w:lineRule="auto"/>
      <w:ind w:left="288"/>
    </w:pPr>
    <w:rPr>
      <w:rFonts w:ascii="Comic Sans MS" w:hAnsi="Comic Sans MS"/>
      <w:color w:val="35359F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0F7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régional</vt:lpstr>
    </vt:vector>
  </TitlesOfParts>
  <Company>RRSSSM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régional</dc:title>
  <dc:subject/>
  <dc:creator>Judith Lord</dc:creator>
  <cp:keywords/>
  <dc:description/>
  <cp:lastModifiedBy>Suzanne Jakab</cp:lastModifiedBy>
  <cp:revision>3</cp:revision>
  <cp:lastPrinted>2011-05-26T19:05:00Z</cp:lastPrinted>
  <dcterms:created xsi:type="dcterms:W3CDTF">2015-10-20T15:18:00Z</dcterms:created>
  <dcterms:modified xsi:type="dcterms:W3CDTF">2016-05-27T14:49:00Z</dcterms:modified>
</cp:coreProperties>
</file>